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253"/>
        <w:spacing w:after="0"/>
        <w:tabs>
          <w:tab w:leader="none" w:pos="13752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358140</wp:posOffset>
            </wp:positionV>
            <wp:extent cx="362585" cy="181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Замок электронный сейфовый </w:t>
      </w:r>
      <w:r>
        <w:rPr>
          <w:rFonts w:ascii="Arial" w:cs="Arial" w:eastAsia="Arial" w:hAnsi="Arial"/>
          <w:sz w:val="19"/>
          <w:szCs w:val="19"/>
          <w:color w:val="auto"/>
        </w:rPr>
        <w:t>FRS-1, FRS-2, FRS-3/E10, E11, E12, E13, E14, E15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336699"/>
        </w:rPr>
        <w:t>КРАТКОЕ РУКОВОДСТВО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-1905</wp:posOffset>
            </wp:positionV>
            <wp:extent cx="10259695" cy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9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21590</wp:posOffset>
            </wp:positionV>
            <wp:extent cx="10259695" cy="19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6013"/>
          </w:cols>
          <w:pgMar w:left="427" w:top="635" w:right="398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center"/>
        <w:ind w:left="1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З</w:t>
      </w:r>
      <w:r>
        <w:rPr>
          <w:rFonts w:ascii="Cambria" w:cs="Cambria" w:eastAsia="Cambria" w:hAnsi="Cambria"/>
          <w:sz w:val="22"/>
          <w:szCs w:val="22"/>
          <w:b w:val="1"/>
          <w:bCs w:val="1"/>
          <w:color w:val="auto"/>
        </w:rPr>
        <w:t>АМОК ЭЛЕКТРОННЫЙ СЕЙФОВЫЙ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-513080</wp:posOffset>
            </wp:positionV>
            <wp:extent cx="695960" cy="3054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ind w:right="7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7"/>
          <w:szCs w:val="27"/>
          <w:b w:val="1"/>
          <w:bCs w:val="1"/>
          <w:color w:val="auto"/>
        </w:rPr>
        <w:t>FRS-1, FRS-2, FRS-3/E10, E11, E12,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center"/>
        <w:ind w:left="1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E13, E14, E15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733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КРАТКОЕ РУКОВОДСТВО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433" w:hanging="433"/>
        <w:spacing w:after="0"/>
        <w:tabs>
          <w:tab w:leader="none" w:pos="433" w:val="left"/>
        </w:tabs>
        <w:numPr>
          <w:ilvl w:val="0"/>
          <w:numId w:val="1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Основные компоненты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-156845</wp:posOffset>
                </wp:positionV>
                <wp:extent cx="3141980" cy="16383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63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4.6499pt;margin-top:-12.3499pt;width:247.4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299720</wp:posOffset>
            </wp:positionV>
            <wp:extent cx="3025775" cy="1250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6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Рис. 1.1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 – Клавиатура замка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 – Ключевая скважина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 – Выдвижной батарейный отсек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 – Световой индикатор Зеленый [G]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 – Световой индикатор Красный [R]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 – Ручка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1.1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Модели клавиатур: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-17145</wp:posOffset>
                </wp:positionV>
                <wp:extent cx="0" cy="863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6pt,-1.3499pt" to="131.6pt,5.45pt" o:allowincell="f" strokecolor="#000000" strokeweight="0.1pt"/>
            </w:pict>
          </mc:Fallback>
        </mc:AlternateConten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Модель E10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Модель E11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79375</wp:posOffset>
            </wp:positionV>
            <wp:extent cx="2644775" cy="5810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Модель E12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Модель E13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79375</wp:posOffset>
            </wp:positionV>
            <wp:extent cx="2906395" cy="5632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Модель E14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Модель E15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808990</wp:posOffset>
                </wp:positionV>
                <wp:extent cx="3141345" cy="15748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8.0999pt;margin-top:63.7pt;width:247.35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78740</wp:posOffset>
            </wp:positionV>
            <wp:extent cx="3027045" cy="5880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2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Определения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Мастер код [PIN1]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Произвольная последовательность цифр минимум 4, максимум 6 знаков. Предназначен для управления настройками и для открытия замка.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580" w:firstLine="1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Перед началом эксплуатации замка замените заводское значение Мастер кода (см. п.п.4.1). Предпримите все необходимые меры для надёжного сохранения нового Мастер кода втайне от посторонних лиц. Заводское значение Мастер кода: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-861060</wp:posOffset>
            </wp:positionV>
            <wp:extent cx="216535" cy="1949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-140335</wp:posOffset>
            </wp:positionV>
            <wp:extent cx="210185" cy="255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0"/>
        <w:spacing w:after="0" w:line="23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i w:val="1"/>
          <w:iCs w:val="1"/>
          <w:color w:val="auto"/>
        </w:rPr>
        <w:t>1–2–3–4–5–6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Код пользователя [PIN2]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Произвольная последовательность цифр минимум 6, максимум 8 знаков. Используется по необходимости, предназначен для открытия замка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285750</wp:posOffset>
                </wp:positionV>
                <wp:extent cx="1025842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22.5pt" to="524.25pt,22.5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254000</wp:posOffset>
                </wp:positionV>
                <wp:extent cx="1025842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20pt" to="524.25pt,20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вторым пользователем с ограниченным правом на изменение Мастер кода и прочих настроек.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jc w:val="both"/>
        <w:ind w:left="600" w:firstLine="19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При поставке с завода код пользователя в памяти замка отсутствует. Для его программирования см. п.п.4.2.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-422910</wp:posOffset>
            </wp:positionV>
            <wp:extent cx="216535" cy="1949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2.3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Сигналы звуковые, дисплея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Одиночный короткий звуковой сигнал и одна вспышка зеленого индикатора (5) является подтверждением нажатия кнопки клавиатуры.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G]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Двойной короткий звуковой сигнал и двойная вспышка зеленого индикатора (5) является подтверждением успешно выполненного действия.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[ R]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Серия из трех коротких звуковых сигналов и вспышек красного индикатора (6) является сообщением об ошибочных действиях пользователя.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jc w:val="both"/>
        <w:ind w:firstLine="562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[ </w:t>
      </w:r>
      <w:r>
        <w:rPr>
          <w:rFonts w:ascii="Arial" w:cs="Arial" w:eastAsia="Arial" w:hAnsi="Arial"/>
          <w:sz w:val="19"/>
          <w:szCs w:val="19"/>
          <w:color w:val="auto"/>
        </w:rPr>
        <w:t>R]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Серия из пяти коротких звуковых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сигналов и вспышек красного цвета (6) является сообщением о разряженной батарее питания замка. Батарею питания в таком случае необходимо заменить. Инструкции по замене см. п.0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290195</wp:posOffset>
                </wp:positionV>
                <wp:extent cx="3141345" cy="1644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644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6.2999pt;margin-top:22.85pt;width:247.3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3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Основные функции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Открыть замок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firstLine="56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Для замка с ключевой скважиной (E10, E12, E13, E15), вставьте ключ в ключевую скважину (2)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ind w:left="560" w:right="560" w:hanging="554"/>
        <w:spacing w:after="0" w:line="354" w:lineRule="auto"/>
        <w:tabs>
          <w:tab w:leader="none" w:pos="164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поверните его по часовой стрелке до упора. Нажмите на клавиатуре (1) следующее: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3.1.1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color w:val="365F91"/>
        </w:rPr>
        <w:t>Открыть новый замок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[*][1][2][3][4][5][6][Enter]</w:t>
      </w:r>
    </w:p>
    <w:p>
      <w:pPr>
        <w:spacing w:after="0" w:line="556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3">
            <w:col w:w="4853" w:space="720"/>
            <w:col w:w="4860" w:space="720"/>
            <w:col w:w="4860"/>
          </w:cols>
          <w:pgMar w:left="427" w:top="635" w:right="398" w:bottom="0" w:gutter="0" w:footer="0" w:header="0"/>
          <w:type w:val="continuous"/>
        </w:sectPr>
      </w:pPr>
    </w:p>
    <w:p>
      <w:pPr>
        <w:spacing w:after="0" w:line="314" w:lineRule="exact"/>
        <w:rPr>
          <w:sz w:val="24"/>
          <w:szCs w:val="24"/>
          <w:color w:val="auto"/>
        </w:rPr>
      </w:pPr>
    </w:p>
    <w:tbl>
      <w:tblPr>
        <w:tblLayout w:type="fixed"/>
        <w:tblInd w:w="743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www.safe.ru</w:t>
            </w:r>
          </w:p>
        </w:tc>
        <w:tc>
          <w:tcPr>
            <w:tcW w:w="5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ООО «НПО ПРОМЕТ», г.Москва, Новомосковский округ,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п. Сосенское, промзона «ПРОМЕТ»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13"/>
          </w:cols>
          <w:pgMar w:left="427" w:top="635" w:right="398" w:bottom="0" w:gutter="0" w:footer="0" w:header="0"/>
          <w:type w:val="continuous"/>
        </w:sectPr>
      </w:pPr>
    </w:p>
    <w:p>
      <w:pPr>
        <w:ind w:left="4260"/>
        <w:spacing w:after="0"/>
        <w:tabs>
          <w:tab w:leader="none" w:pos="137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358140</wp:posOffset>
            </wp:positionV>
            <wp:extent cx="362585" cy="1816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Замок электронный сейфовый </w:t>
      </w:r>
      <w:r>
        <w:rPr>
          <w:rFonts w:ascii="Arial" w:cs="Arial" w:eastAsia="Arial" w:hAnsi="Arial"/>
          <w:sz w:val="19"/>
          <w:szCs w:val="19"/>
          <w:color w:val="auto"/>
        </w:rPr>
        <w:t>FRS-1, FRS-2, FRS-3/E10, E11, E12, E13, E14, E15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336699"/>
        </w:rPr>
        <w:t>КРАТКОЕ РУКОВОДСТВО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-1905</wp:posOffset>
            </wp:positionV>
            <wp:extent cx="10259695" cy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9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21590</wp:posOffset>
            </wp:positionV>
            <wp:extent cx="10259695" cy="196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6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7017385</wp:posOffset>
                </wp:positionH>
                <wp:positionV relativeFrom="paragraph">
                  <wp:posOffset>161290</wp:posOffset>
                </wp:positionV>
                <wp:extent cx="3142615" cy="15748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52.55pt;margin-top:12.7pt;width:247.45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6020"/>
          </w:cols>
          <w:pgMar w:left="420" w:top="635" w:right="398" w:bottom="0" w:gutter="0" w:footer="0" w:header="0"/>
        </w:sect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365F91"/>
              </w:rPr>
              <w:t>3.1.2</w:t>
            </w:r>
          </w:p>
        </w:tc>
        <w:tc>
          <w:tcPr>
            <w:tcW w:w="3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365F91"/>
              </w:rPr>
              <w:t>Открыть Мастер кодом</w:t>
            </w:r>
          </w:p>
        </w:tc>
        <w:tc>
          <w:tcPr>
            <w:tcW w:w="14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365F91"/>
              </w:rPr>
              <w:t>4.1</w:t>
            </w:r>
          </w:p>
        </w:tc>
        <w:tc>
          <w:tcPr>
            <w:tcW w:w="40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b w:val="1"/>
                <w:bCs w:val="1"/>
                <w:color w:val="365F91"/>
              </w:rPr>
              <w:t>Изменить Мастер код [PIN1]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[*][PIN1][Enter]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ind w:left="9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[*] [Enter] [1]</w:t>
            </w:r>
          </w:p>
        </w:tc>
        <w:tc>
          <w:tcPr>
            <w:tcW w:w="2700" w:type="dxa"/>
            <w:vAlign w:val="bottom"/>
            <w:gridSpan w:val="2"/>
            <w:vMerge w:val="restart"/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[Enter] [PIN1] [Enter]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365F91"/>
              </w:rPr>
              <w:t>3.1.3</w:t>
            </w:r>
          </w:p>
        </w:tc>
        <w:tc>
          <w:tcPr>
            <w:tcW w:w="3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0"/>
                <w:szCs w:val="20"/>
                <w:color w:val="365F91"/>
              </w:rPr>
              <w:t>Открыть Кодом пользователя</w:t>
            </w:r>
          </w:p>
        </w:tc>
        <w:tc>
          <w:tcPr>
            <w:tcW w:w="5540" w:type="dxa"/>
            <w:vAlign w:val="bottom"/>
            <w:gridSpan w:val="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[новый PIN1] [Enter]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4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[*][PIN2][Enter]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[повторно новый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PIN1] [Enter]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434" w:hanging="434"/>
        <w:spacing w:after="0"/>
        <w:tabs>
          <w:tab w:leader="none" w:pos="434" w:val="left"/>
        </w:tabs>
        <w:numPr>
          <w:ilvl w:val="0"/>
          <w:numId w:val="5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Обслуживание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594" w:firstLine="1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Элементы питания, поставляемые в комплекте с замком, предназначены для проверки его работоспособности.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-421640</wp:posOffset>
            </wp:positionV>
            <wp:extent cx="216535" cy="1949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10446" w:space="720"/>
            <w:col w:w="4854"/>
          </w:cols>
          <w:pgMar w:left="420" w:top="635" w:right="398" w:bottom="0" w:gutter="0" w:footer="0" w:header="0"/>
          <w:type w:val="continuous"/>
        </w:sectPr>
      </w:pPr>
    </w:p>
    <w:p>
      <w:pPr>
        <w:jc w:val="both"/>
        <w:ind w:firstLine="56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Если набранный код верный, то замок откроется, загорится зеленый индикатор и в течение пяти секунд можно открыть дверь. Для моделей с ручкой (E11, E12, E14, E15) повернуть ручку (6) до упора и открыть дверь.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both"/>
        <w:ind w:left="600" w:firstLine="19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После третьей подряд попытки открыть замок недействующим кодом, следующая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-276225</wp:posOffset>
            </wp:positionV>
            <wp:extent cx="216535" cy="1949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6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возможность ввода кода будет заблокирована на 5 минут. Блокированное состояние отображается периодическими вспышками красного индикатора.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Закрыть замок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3.2.1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color w:val="365F91"/>
        </w:rPr>
        <w:t>Для сейфов FRS 30-51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56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Закройте дверь и поверните ключ (2) (для E10, E13) или ручку (6) (для E11, E14) замка против часовой стрелки до упора.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color w:val="365F91"/>
        </w:rPr>
        <w:t>3.2.2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color w:val="365F91"/>
        </w:rPr>
        <w:t>Для сейфов FRS 66-165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562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Закройте дверь сейфа, при этом замок закроется автоматически.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40" w:hanging="433"/>
        <w:spacing w:after="0"/>
        <w:tabs>
          <w:tab w:leader="none" w:pos="440" w:val="left"/>
        </w:tabs>
        <w:numPr>
          <w:ilvl w:val="0"/>
          <w:numId w:val="6"/>
        </w:numP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  <w:r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  <w:t>Сервисные функции</w:t>
      </w:r>
    </w:p>
    <w:p>
      <w:pPr>
        <w:spacing w:after="0" w:line="233" w:lineRule="exact"/>
        <w:rPr>
          <w:rFonts w:ascii="Cambria" w:cs="Cambria" w:eastAsia="Cambria" w:hAnsi="Cambria"/>
          <w:sz w:val="24"/>
          <w:szCs w:val="24"/>
          <w:b w:val="1"/>
          <w:bCs w:val="1"/>
          <w:color w:val="FFFFFF"/>
        </w:rPr>
      </w:pPr>
    </w:p>
    <w:p>
      <w:pPr>
        <w:ind w:left="1040" w:hanging="423"/>
        <w:spacing w:after="0"/>
        <w:tabs>
          <w:tab w:leader="none" w:pos="1040" w:val="left"/>
        </w:tabs>
        <w:numPr>
          <w:ilvl w:val="1"/>
          <w:numId w:val="6"/>
        </w:numPr>
        <w:rPr>
          <w:rFonts w:ascii="Arial" w:cs="Arial" w:eastAsia="Arial" w:hAnsi="Arial"/>
          <w:sz w:val="20"/>
          <w:szCs w:val="20"/>
          <w:i w:val="1"/>
          <w:iCs w:val="1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виду    возможной    непреднамеренной</w:t>
      </w:r>
    </w:p>
    <w:p>
      <w:pPr>
        <w:ind w:left="600"/>
        <w:spacing w:after="0"/>
        <w:rPr>
          <w:rFonts w:ascii="Arial" w:cs="Arial" w:eastAsia="Arial" w:hAnsi="Arial"/>
          <w:sz w:val="20"/>
          <w:szCs w:val="20"/>
          <w:i w:val="1"/>
          <w:iCs w:val="1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блокировкизамкав</w:t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результате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i w:val="1"/>
          <w:iCs w:val="1"/>
          <w:color w:val="auto"/>
        </w:rPr>
      </w:pPr>
    </w:p>
    <w:p>
      <w:pPr>
        <w:jc w:val="both"/>
        <w:ind w:left="600"/>
        <w:spacing w:after="0" w:line="236" w:lineRule="auto"/>
        <w:rPr>
          <w:rFonts w:ascii="Arial" w:cs="Arial" w:eastAsia="Arial" w:hAnsi="Arial"/>
          <w:sz w:val="20"/>
          <w:szCs w:val="20"/>
          <w:i w:val="1"/>
          <w:iCs w:val="1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неправильных действий, сервисные функции рекомендуется выполнять с открытой дверью сейфа.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-1036955</wp:posOffset>
                </wp:positionV>
                <wp:extent cx="3142615" cy="1574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57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4.7499pt;margin-top:-81.6499pt;width:247.45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-715645</wp:posOffset>
            </wp:positionV>
            <wp:extent cx="216535" cy="1949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89535</wp:posOffset>
            </wp:positionV>
            <wp:extent cx="210185" cy="255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both"/>
        <w:ind w:left="600" w:firstLine="19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Сервисные функции недоступны, если заряд батареи питания замка на исходе, о чем сообщает сигнал см. п.2.1, </w:t>
      </w:r>
      <w:r>
        <w:rPr>
          <w:rFonts w:ascii="Arial" w:cs="Arial" w:eastAsia="Arial" w:hAnsi="Arial"/>
          <w:sz w:val="22"/>
          <w:szCs w:val="22"/>
          <w:color w:val="auto"/>
        </w:rPr>
        <w:t>[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R]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Мастер код: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[*][новый PIN1][Enter]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0" w:right="760" w:hanging="719"/>
        <w:spacing w:after="0" w:line="239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4.2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Изменить код пользователя [PIN2] используя Мастер код [PIN1]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1420" w:val="left"/>
          <w:tab w:leader="none" w:pos="2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Перед</w:t>
        <w:tab/>
        <w:t>изменением</w:t>
        <w:tab/>
        <w:t>кода</w:t>
        <w:tab/>
        <w:t>пользователя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-132715</wp:posOffset>
            </wp:positionV>
            <wp:extent cx="216535" cy="1949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80"/>
        <w:spacing w:after="0"/>
        <w:tabs>
          <w:tab w:leader="none" w:pos="1300" w:val="left"/>
          <w:tab w:leader="none" w:pos="2420" w:val="left"/>
          <w:tab w:leader="none" w:pos="3460" w:val="left"/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[PIN2]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заводское</w:t>
        <w:tab/>
        <w:t>значение</w:t>
        <w:tab/>
        <w:t>Мастер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кода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[PIN1] должно быть изменено (см. п.4.1).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right="300" w:firstLine="6"/>
        <w:spacing w:after="0" w:line="251" w:lineRule="auto"/>
        <w:tabs>
          <w:tab w:leader="none" w:pos="480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[Enter] [2] [Enter] [PIN1] [Enter] [новый PIN2] [Enter]</w:t>
      </w:r>
    </w:p>
    <w:p>
      <w:pPr>
        <w:spacing w:after="0" w:line="22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[повторно новый PIN2] [Enter]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код пользователя: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[*][новый PIN2][Enter]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600" w:firstLine="1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Проводите проверку нового кода пользователя при открытой двери сейфа.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-276860</wp:posOffset>
            </wp:positionV>
            <wp:extent cx="216535" cy="1949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720" w:right="400" w:hanging="719"/>
        <w:spacing w:after="0" w:line="239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4.3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Изменить код пользователя [PIN2] без Мастер кода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right="300" w:firstLine="6"/>
        <w:spacing w:after="0" w:line="251" w:lineRule="auto"/>
        <w:tabs>
          <w:tab w:leader="none" w:pos="480" w:val="left"/>
        </w:tabs>
        <w:numPr>
          <w:ilvl w:val="0"/>
          <w:numId w:val="8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[Enter] [3] [Enter] [PIN2] [Enter] [новый PIN2] [Enter]</w:t>
      </w:r>
    </w:p>
    <w:p>
      <w:pPr>
        <w:spacing w:after="0" w:line="24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spacing w:after="0"/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[повторно новый PIN2] [Enter]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Проверить новый код пользователя: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[*][новый PIN2][Enter]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4.4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Удалить код пользователя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right="2100" w:firstLine="6"/>
        <w:spacing w:after="0" w:line="251" w:lineRule="auto"/>
        <w:tabs>
          <w:tab w:leader="none" w:pos="480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[Enter] [0] [Enter] [PIN1] [Enter]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325755</wp:posOffset>
                </wp:positionV>
                <wp:extent cx="102584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25.65pt" to="524.25pt,25.65pt" o:allowincell="f" strokecolor="#365F9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294005</wp:posOffset>
                </wp:positionV>
                <wp:extent cx="1025842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3.4999pt,23.15pt" to="524.25pt,23.15pt" o:allowincell="f" strokecolor="#365F91" strokeweight="1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600" w:firstLine="1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Перед началом работы установите элементы питания согласно п.5.1.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-276860</wp:posOffset>
            </wp:positionV>
            <wp:extent cx="216535" cy="1949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0"/>
          <w:szCs w:val="20"/>
          <w:b w:val="1"/>
          <w:bCs w:val="1"/>
          <w:color w:val="365F91"/>
        </w:rPr>
        <w:t>5.1</w:t>
      </w:r>
      <w:r>
        <w:rPr>
          <w:sz w:val="20"/>
          <w:szCs w:val="20"/>
          <w:color w:val="auto"/>
        </w:rPr>
        <w:tab/>
      </w:r>
      <w:r>
        <w:rPr>
          <w:rFonts w:ascii="Cambria" w:cs="Cambria" w:eastAsia="Cambria" w:hAnsi="Cambria"/>
          <w:sz w:val="19"/>
          <w:szCs w:val="19"/>
          <w:b w:val="1"/>
          <w:bCs w:val="1"/>
          <w:color w:val="365F91"/>
        </w:rPr>
        <w:t>Замена батареи питания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left="580" w:hanging="291"/>
        <w:spacing w:after="0" w:line="185" w:lineRule="auto"/>
        <w:tabs>
          <w:tab w:leader="none" w:pos="5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Батарейный отсек (3) находится в нижней части корпуса клавиатуры в выдвижном отсеке.</w:t>
      </w:r>
    </w:p>
    <w:p>
      <w:pPr>
        <w:spacing w:after="0" w:line="132" w:lineRule="exact"/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</w:p>
    <w:p>
      <w:pPr>
        <w:jc w:val="both"/>
        <w:ind w:left="580" w:hanging="291"/>
        <w:spacing w:after="0" w:line="184" w:lineRule="auto"/>
        <w:tabs>
          <w:tab w:leader="none" w:pos="580" w:val="left"/>
        </w:tabs>
        <w:numPr>
          <w:ilvl w:val="0"/>
          <w:numId w:val="10"/>
        </w:numPr>
        <w:rPr>
          <w:rFonts w:ascii="Wingdings 2" w:cs="Wingdings 2" w:eastAsia="Wingdings 2" w:hAnsi="Wingdings 2"/>
          <w:sz w:val="40"/>
          <w:szCs w:val="40"/>
          <w:color w:val="365F91"/>
          <w:vertAlign w:val="superscript"/>
        </w:rPr>
      </w:pPr>
      <w:r>
        <w:rPr>
          <w:rFonts w:ascii="Arial" w:cs="Arial" w:eastAsia="Arial" w:hAnsi="Arial"/>
          <w:sz w:val="20"/>
          <w:szCs w:val="20"/>
          <w:color w:val="auto"/>
        </w:rPr>
        <w:t>Выдвиньте батарейный отсек (3). Рис. 5.1 (для E10, E11, E12), Рис.5.2 (для E13, E14, E15)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156845</wp:posOffset>
            </wp:positionV>
            <wp:extent cx="3040380" cy="10668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Рис. 5.1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Рис. 5.2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80" w:hanging="291"/>
        <w:spacing w:after="0" w:line="183" w:lineRule="auto"/>
        <w:tabs>
          <w:tab w:leader="none" w:pos="580" w:val="left"/>
        </w:tabs>
        <w:numPr>
          <w:ilvl w:val="0"/>
          <w:numId w:val="11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Замените батареи питания на новые, соблюдая полярность (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батареи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AAA 1.5V</w:t>
      </w:r>
      <w:r>
        <w:rPr>
          <w:rFonts w:ascii="Arial" w:cs="Arial" w:eastAsia="Arial" w:hAnsi="Arial"/>
          <w:sz w:val="18"/>
          <w:szCs w:val="18"/>
          <w:color w:val="auto"/>
        </w:rPr>
        <w:t>).</w:t>
      </w:r>
    </w:p>
    <w:p>
      <w:pPr>
        <w:spacing w:after="0" w:line="133" w:lineRule="exact"/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</w:p>
    <w:p>
      <w:pPr>
        <w:ind w:left="580" w:hanging="291"/>
        <w:spacing w:after="0" w:line="184" w:lineRule="auto"/>
        <w:tabs>
          <w:tab w:leader="none" w:pos="580" w:val="left"/>
        </w:tabs>
        <w:numPr>
          <w:ilvl w:val="0"/>
          <w:numId w:val="11"/>
        </w:numPr>
        <w:rPr>
          <w:rFonts w:ascii="Wingdings 2" w:cs="Wingdings 2" w:eastAsia="Wingdings 2" w:hAnsi="Wingdings 2"/>
          <w:sz w:val="36"/>
          <w:szCs w:val="36"/>
          <w:color w:val="365F91"/>
          <w:vertAlign w:val="superscript"/>
        </w:rPr>
      </w:pPr>
      <w:r>
        <w:rPr>
          <w:rFonts w:ascii="Arial" w:cs="Arial" w:eastAsia="Arial" w:hAnsi="Arial"/>
          <w:sz w:val="18"/>
          <w:szCs w:val="18"/>
          <w:color w:val="auto"/>
        </w:rPr>
        <w:t>Установите батарейный отсек (3) на прежнее место.</w:t>
      </w:r>
    </w:p>
    <w:p>
      <w:pPr>
        <w:spacing w:after="0" w:line="198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3">
            <w:col w:w="4860" w:space="720"/>
            <w:col w:w="4860" w:space="720"/>
            <w:col w:w="4860"/>
          </w:cols>
          <w:pgMar w:left="420" w:top="635" w:right="398" w:bottom="0" w:gutter="0" w:footer="0" w:header="0"/>
          <w:type w:val="continuous"/>
        </w:sectPr>
      </w:pPr>
    </w:p>
    <w:p>
      <w:pPr>
        <w:spacing w:after="0" w:line="377" w:lineRule="exact"/>
        <w:rPr>
          <w:sz w:val="20"/>
          <w:szCs w:val="20"/>
          <w:color w:val="auto"/>
        </w:rPr>
      </w:pPr>
    </w:p>
    <w:tbl>
      <w:tblPr>
        <w:tblLayout w:type="fixed"/>
        <w:tblInd w:w="7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www.safe.ru</w:t>
            </w:r>
          </w:p>
        </w:tc>
        <w:tc>
          <w:tcPr>
            <w:tcW w:w="5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ООО «НПО ПРОМЕТ», г.Москва, Новомосковский округ,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п. Сосенское, промзона «ПРОМЕТ»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6" w:orient="landscape"/>
      <w:cols w:equalWidth="0" w:num="1">
        <w:col w:w="16020"/>
      </w:cols>
      <w:pgMar w:left="420" w:top="635" w:right="398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 2">
    <w:panose1 w:val="050201020105070707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41BB"/>
    <w:multiLevelType w:val="hybridMultilevel"/>
    <w:lvl w:ilvl="0">
      <w:lvlJc w:val="left"/>
      <w:lvlText w:val="%1"/>
      <w:numFmt w:val="decimal"/>
      <w:start w:val="3"/>
    </w:lvl>
  </w:abstractNum>
  <w:abstractNum w:abstractNumId="3">
    <w:nsid w:val="26E9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1EB"/>
    <w:multiLevelType w:val="hybridMultilevel"/>
    <w:lvl w:ilvl="0">
      <w:lvlJc w:val="left"/>
      <w:lvlText w:val="%1"/>
      <w:numFmt w:val="decimal"/>
      <w:start w:val="5"/>
    </w:lvl>
  </w:abstractNum>
  <w:abstractNum w:abstractNumId="5">
    <w:nsid w:val="BB3"/>
    <w:multiLevelType w:val="hybridMultilevel"/>
    <w:lvl w:ilvl="0">
      <w:lvlJc w:val="left"/>
      <w:lvlText w:val="%1"/>
      <w:numFmt w:val="decimal"/>
      <w:start w:val="4"/>
    </w:lvl>
    <w:lvl w:ilvl="1">
      <w:lvlJc w:val="left"/>
      <w:lvlText w:val="В"/>
      <w:numFmt w:val="bullet"/>
      <w:start w:val="1"/>
    </w:lvl>
  </w:abstractNum>
  <w:abstractNum w:abstractNumId="6">
    <w:nsid w:val="2EA6"/>
    <w:multiLevelType w:val="hybridMultilevel"/>
    <w:lvl w:ilvl="0">
      <w:lvlJc w:val="left"/>
      <w:lvlText w:val="[*]"/>
      <w:numFmt w:val="bullet"/>
      <w:start w:val="1"/>
    </w:lvl>
  </w:abstractNum>
  <w:abstractNum w:abstractNumId="7">
    <w:nsid w:val="12DB"/>
    <w:multiLevelType w:val="hybridMultilevel"/>
    <w:lvl w:ilvl="0">
      <w:lvlJc w:val="left"/>
      <w:lvlText w:val="[*]"/>
      <w:numFmt w:val="bullet"/>
      <w:start w:val="1"/>
    </w:lvl>
  </w:abstractNum>
  <w:abstractNum w:abstractNumId="8">
    <w:nsid w:val="153C"/>
    <w:multiLevelType w:val="hybridMultilevel"/>
    <w:lvl w:ilvl="0">
      <w:lvlJc w:val="left"/>
      <w:lvlText w:val="[*]"/>
      <w:numFmt w:val="bullet"/>
      <w:start w:val="1"/>
    </w:lvl>
  </w:abstractNum>
  <w:abstractNum w:abstractNumId="9">
    <w:nsid w:val="7E87"/>
    <w:multiLevelType w:val="hybridMultilevel"/>
    <w:lvl w:ilvl="0">
      <w:lvlJc w:val="left"/>
      <w:lvlText w:val=""/>
      <w:numFmt w:val="bullet"/>
      <w:start w:val="1"/>
    </w:lvl>
  </w:abstractNum>
  <w:abstractNum w:abstractNumId="10">
    <w:nsid w:val="390C"/>
    <w:multiLevelType w:val="hybridMultilevel"/>
    <w:lvl w:ilvl="0">
      <w:lvlJc w:val="left"/>
      <w:lvlText w:val="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2019-06-17T18:17:56Z</dcterms:created>
  <dcterms:modified xsi:type="dcterms:W3CDTF">2019-06-17T18:17:56Z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